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Times New Roman" w:eastAsia="方正小标宋简体" w:cs="Times New Roman"/>
          <w:sz w:val="44"/>
          <w:szCs w:val="24"/>
        </w:rPr>
      </w:pPr>
      <w:r>
        <w:rPr>
          <w:rFonts w:hint="eastAsia" w:ascii="方正小标宋简体" w:hAnsi="Times New Roman" w:eastAsia="方正小标宋简体" w:cs="Times New Roman"/>
          <w:sz w:val="44"/>
          <w:szCs w:val="24"/>
        </w:rPr>
        <w:t>20</w:t>
      </w:r>
      <w:r>
        <w:rPr>
          <w:rFonts w:hint="eastAsia" w:ascii="方正小标宋简体" w:hAnsi="Times New Roman" w:eastAsia="方正小标宋简体" w:cs="Times New Roman"/>
          <w:sz w:val="44"/>
          <w:szCs w:val="24"/>
          <w:lang w:val="en-US" w:eastAsia="zh-CN"/>
        </w:rPr>
        <w:t>21</w:t>
      </w:r>
      <w:r>
        <w:rPr>
          <w:rFonts w:hint="eastAsia" w:ascii="方正小标宋简体" w:hAnsi="Times New Roman" w:eastAsia="方正小标宋简体" w:cs="Times New Roman"/>
          <w:sz w:val="44"/>
          <w:szCs w:val="24"/>
        </w:rPr>
        <w:t>年楚雄</w:t>
      </w:r>
      <w:r>
        <w:rPr>
          <w:rFonts w:hint="eastAsia" w:ascii="方正小标宋简体" w:hAnsi="Times New Roman" w:eastAsia="方正小标宋简体" w:cs="Times New Roman"/>
          <w:sz w:val="44"/>
          <w:szCs w:val="24"/>
          <w:lang w:val="en-US" w:eastAsia="zh-CN"/>
        </w:rPr>
        <w:t>州迎峰度冬</w:t>
      </w:r>
      <w:r>
        <w:rPr>
          <w:rFonts w:hint="eastAsia" w:ascii="方正小标宋简体" w:hAnsi="Times New Roman" w:eastAsia="方正小标宋简体" w:cs="Times New Roman"/>
          <w:sz w:val="44"/>
          <w:szCs w:val="24"/>
        </w:rPr>
        <w:t>有序用电</w:t>
      </w:r>
      <w:r>
        <w:rPr>
          <w:rFonts w:hint="eastAsia" w:ascii="方正小标宋简体" w:hAnsi="Times New Roman" w:eastAsia="方正小标宋简体" w:cs="Times New Roman"/>
          <w:sz w:val="44"/>
          <w:szCs w:val="24"/>
          <w:lang w:val="en-US" w:eastAsia="zh-CN"/>
        </w:rPr>
        <w:t>方</w:t>
      </w:r>
      <w:r>
        <w:rPr>
          <w:rFonts w:hint="eastAsia" w:ascii="方正小标宋简体" w:hAnsi="Times New Roman" w:eastAsia="方正小标宋简体" w:cs="Times New Roman"/>
          <w:sz w:val="44"/>
          <w:szCs w:val="24"/>
        </w:rPr>
        <w:t>案</w:t>
      </w:r>
    </w:p>
    <w:p>
      <w:pPr>
        <w:ind w:firstLine="645"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60" w:lineRule="exact"/>
        <w:ind w:firstLine="645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根据《云南省能源局关于印发2021年迎峰度冬有序用电方案的通知》（云能源运行[2021]2号）文的要求，</w:t>
      </w:r>
      <w:r>
        <w:rPr>
          <w:rFonts w:hint="eastAsia" w:ascii="仿宋" w:hAnsi="仿宋" w:eastAsia="仿宋"/>
          <w:color w:val="000000"/>
          <w:sz w:val="32"/>
          <w:szCs w:val="32"/>
        </w:rPr>
        <w:t>为确保楚雄电网安全、稳定运行，切实防止电网事故扩大和减少事故损失，结合楚雄电网实际，制定2021年楚雄州迎峰度冬有序用电方案，具体如下：</w:t>
      </w:r>
    </w:p>
    <w:p>
      <w:pPr>
        <w:spacing w:line="560" w:lineRule="exact"/>
        <w:ind w:firstLine="645"/>
        <w:rPr>
          <w:rFonts w:hint="default" w:ascii="黑体" w:hAnsi="黑体" w:eastAsia="黑体" w:cs="黑体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一、有序用电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  <w:t>原则和顺序</w:t>
      </w:r>
    </w:p>
    <w:p>
      <w:pPr>
        <w:spacing w:line="560" w:lineRule="exact"/>
        <w:ind w:firstLine="645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（一）有序用电原则</w:t>
      </w:r>
    </w:p>
    <w:p>
      <w:pPr>
        <w:spacing w:line="560" w:lineRule="exact"/>
        <w:ind w:firstLine="645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严格按照国家要求，电力供应紧张时“保民生、保公用、保重点”，优先保障居民、农业、重要公用事业和公益性服务用电。</w:t>
      </w:r>
    </w:p>
    <w:p>
      <w:pPr>
        <w:spacing w:line="560" w:lineRule="exact"/>
        <w:ind w:firstLine="645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（二）有序用电顺序</w:t>
      </w:r>
    </w:p>
    <w:p>
      <w:pPr>
        <w:spacing w:line="560" w:lineRule="exact"/>
        <w:ind w:firstLine="646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有序用电工作过程中，按照“以保障安全为首要前提，先避峰、后错峰、再限电、最后拉闸”顺序原则，合理安排有序用电，具体按以下顺序限产、停产控制用电：</w:t>
      </w:r>
    </w:p>
    <w:p>
      <w:pPr>
        <w:spacing w:line="560" w:lineRule="exact"/>
        <w:ind w:firstLine="646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1．保障电网安全和供电安全需限产、停产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/>
          <w:color w:val="000000"/>
          <w:sz w:val="32"/>
          <w:szCs w:val="32"/>
        </w:rPr>
        <w:t>用电负荷。</w:t>
      </w:r>
    </w:p>
    <w:p>
      <w:pPr>
        <w:spacing w:line="560" w:lineRule="exact"/>
        <w:ind w:firstLine="646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2．不符合国家产业政策的所有淘汰类和限制类企业用电。</w:t>
      </w:r>
    </w:p>
    <w:p>
      <w:pPr>
        <w:spacing w:line="560" w:lineRule="exact"/>
        <w:ind w:firstLine="646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3．铁合金、电石、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烧碱、</w:t>
      </w:r>
      <w:r>
        <w:rPr>
          <w:rFonts w:hint="eastAsia" w:ascii="仿宋" w:hAnsi="仿宋" w:eastAsia="仿宋"/>
          <w:color w:val="000000"/>
          <w:sz w:val="32"/>
          <w:szCs w:val="32"/>
        </w:rPr>
        <w:t>水泥、钢铁、黄磷、铅锌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冶炼等行业用电负荷；</w:t>
      </w:r>
      <w:r>
        <w:rPr>
          <w:rFonts w:hint="eastAsia" w:ascii="仿宋" w:hAnsi="仿宋" w:eastAsia="仿宋"/>
          <w:color w:val="000000"/>
          <w:sz w:val="32"/>
          <w:szCs w:val="32"/>
        </w:rPr>
        <w:t>电解铝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行业</w:t>
      </w:r>
      <w:r>
        <w:rPr>
          <w:rFonts w:hint="eastAsia" w:ascii="仿宋" w:hAnsi="仿宋" w:eastAsia="仿宋"/>
          <w:color w:val="000000"/>
          <w:sz w:val="32"/>
          <w:szCs w:val="32"/>
        </w:rPr>
        <w:t>用电负荷。</w:t>
      </w:r>
    </w:p>
    <w:p>
      <w:pPr>
        <w:spacing w:line="560" w:lineRule="exact"/>
        <w:ind w:firstLine="645"/>
        <w:rPr>
          <w:rFonts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二、应急错峰指标分配</w:t>
      </w:r>
    </w:p>
    <w:p>
      <w:pPr>
        <w:spacing w:line="560" w:lineRule="exact"/>
        <w:ind w:firstLine="646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根据云南省能源局下达的指标，</w:t>
      </w:r>
      <w:r>
        <w:rPr>
          <w:rFonts w:hint="eastAsia" w:ascii="仿宋" w:hAnsi="仿宋" w:eastAsia="仿宋"/>
          <w:color w:val="000000"/>
          <w:sz w:val="32"/>
          <w:szCs w:val="32"/>
        </w:rPr>
        <w:t>结合当前电网运行情况，应急错峰方案分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/>
          <w:color w:val="000000"/>
          <w:sz w:val="32"/>
          <w:szCs w:val="32"/>
        </w:rPr>
        <w:t>个梯度，即：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第一档</w:t>
      </w:r>
      <w:r>
        <w:rPr>
          <w:rFonts w:hint="eastAsia" w:ascii="仿宋" w:hAnsi="仿宋" w:eastAsia="仿宋"/>
          <w:color w:val="000000"/>
          <w:sz w:val="32"/>
          <w:szCs w:val="32"/>
        </w:rPr>
        <w:t>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万千瓦，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第二档</w:t>
      </w:r>
      <w:r>
        <w:rPr>
          <w:rFonts w:hint="eastAsia" w:ascii="仿宋" w:hAnsi="仿宋" w:eastAsia="仿宋"/>
          <w:sz w:val="32"/>
          <w:szCs w:val="32"/>
        </w:rPr>
        <w:t>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万千瓦，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第三档</w:t>
      </w:r>
      <w:r>
        <w:rPr>
          <w:rFonts w:hint="eastAsia" w:ascii="仿宋" w:hAnsi="仿宋" w:eastAsia="仿宋"/>
          <w:sz w:val="32"/>
          <w:szCs w:val="32"/>
        </w:rPr>
        <w:t>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color w:val="000000"/>
          <w:sz w:val="32"/>
          <w:szCs w:val="32"/>
        </w:rPr>
        <w:t>万千瓦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第四档为8万千瓦，第四档为10万千瓦</w:t>
      </w:r>
      <w:r>
        <w:rPr>
          <w:rFonts w:hint="eastAsia" w:ascii="仿宋" w:hAnsi="仿宋" w:eastAsia="仿宋"/>
          <w:color w:val="000000"/>
          <w:sz w:val="32"/>
          <w:szCs w:val="32"/>
        </w:rPr>
        <w:t>。一旦电网高峰电力不足或缺电发生，将启动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有序用电</w:t>
      </w:r>
      <w:r>
        <w:rPr>
          <w:rFonts w:hint="eastAsia" w:ascii="仿宋" w:hAnsi="仿宋" w:eastAsia="仿宋"/>
          <w:color w:val="000000"/>
          <w:sz w:val="32"/>
          <w:szCs w:val="32"/>
        </w:rPr>
        <w:t>方案，具体错峰时间和时段由楚雄供电局根据预警情况实时下达。各单位错峰指标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见附件。</w:t>
      </w:r>
    </w:p>
    <w:p>
      <w:pPr>
        <w:spacing w:line="560" w:lineRule="exact"/>
        <w:ind w:firstLine="645"/>
        <w:rPr>
          <w:rFonts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三、有关要求</w:t>
      </w:r>
    </w:p>
    <w:p>
      <w:pPr>
        <w:spacing w:line="560" w:lineRule="exact"/>
        <w:ind w:firstLine="646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（一）请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各县市电网企业</w:t>
      </w:r>
      <w:r>
        <w:rPr>
          <w:rFonts w:hint="eastAsia" w:ascii="仿宋" w:hAnsi="仿宋" w:eastAsia="仿宋"/>
          <w:color w:val="000000"/>
          <w:sz w:val="32"/>
          <w:szCs w:val="32"/>
        </w:rPr>
        <w:t>积极与当地电力主管部门联系，根据下达的指标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制定</w:t>
      </w:r>
      <w:r>
        <w:rPr>
          <w:rFonts w:hint="eastAsia" w:ascii="仿宋" w:hAnsi="仿宋" w:eastAsia="仿宋"/>
          <w:color w:val="000000"/>
          <w:sz w:val="32"/>
          <w:szCs w:val="32"/>
        </w:rPr>
        <w:t>具体的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应对措施</w:t>
      </w:r>
      <w:r>
        <w:rPr>
          <w:rFonts w:hint="eastAsia" w:ascii="仿宋" w:hAnsi="仿宋" w:eastAsia="仿宋"/>
          <w:color w:val="000000"/>
          <w:sz w:val="32"/>
          <w:szCs w:val="32"/>
        </w:rPr>
        <w:t>，做好有序用电工作。</w:t>
      </w:r>
    </w:p>
    <w:p>
      <w:pPr>
        <w:spacing w:line="560" w:lineRule="exact"/>
        <w:ind w:firstLine="646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（二）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楚雄供电局及各县市电网企业</w:t>
      </w:r>
      <w:r>
        <w:rPr>
          <w:rFonts w:hint="eastAsia" w:ascii="仿宋" w:hAnsi="仿宋" w:eastAsia="仿宋"/>
          <w:color w:val="000000"/>
          <w:sz w:val="32"/>
          <w:szCs w:val="32"/>
        </w:rPr>
        <w:t>要认真研究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分析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本供电营业区</w:t>
      </w:r>
      <w:r>
        <w:rPr>
          <w:rFonts w:hint="eastAsia" w:ascii="仿宋" w:hAnsi="仿宋" w:eastAsia="仿宋"/>
          <w:color w:val="000000"/>
          <w:sz w:val="32"/>
          <w:szCs w:val="32"/>
        </w:rPr>
        <w:t>的负荷结构，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配合调度部门</w:t>
      </w:r>
      <w:r>
        <w:rPr>
          <w:rFonts w:hint="eastAsia" w:ascii="仿宋" w:hAnsi="仿宋" w:eastAsia="仿宋"/>
          <w:color w:val="000000"/>
          <w:sz w:val="32"/>
          <w:szCs w:val="32"/>
        </w:rPr>
        <w:t>合理安排有序用电工作，并确保事先通知用电企业，实现有计划的削减高峰负荷，同时利用技术手段控制高峰电力，努力提高用电负荷率，确保电网安全稳定运行。</w:t>
      </w:r>
    </w:p>
    <w:p>
      <w:pPr>
        <w:spacing w:line="560" w:lineRule="exact"/>
        <w:ind w:firstLine="646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color w:val="000000"/>
          <w:sz w:val="32"/>
          <w:szCs w:val="32"/>
        </w:rPr>
        <w:t>三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）各县市发改局、供电部门要加强有序用电管理，提前做好用电企业错峰让峰宣传解释工作，一旦启动有序用电，确保方案执行到位。</w:t>
      </w:r>
    </w:p>
    <w:p>
      <w:pPr>
        <w:spacing w:line="560" w:lineRule="exact"/>
        <w:ind w:firstLine="646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（四）</w:t>
      </w:r>
      <w:bookmarkStart w:id="0" w:name="_GoBack"/>
      <w:bookmarkEnd w:id="0"/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楚雄供电局及各县市电网企业要提前对辖区内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的新增用户进行梳理并与电力主管部门汇报，执行有序用电期间，相关新增用电负荷暂缓投产。</w:t>
      </w:r>
    </w:p>
    <w:p>
      <w:pPr>
        <w:spacing w:line="560" w:lineRule="exact"/>
        <w:ind w:firstLine="646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</w:p>
    <w:p>
      <w:pPr>
        <w:spacing w:line="560" w:lineRule="exact"/>
        <w:ind w:firstLine="646"/>
        <w:rPr>
          <w:rFonts w:hint="default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附件：2021年楚雄电网有序用电方案表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documentProtection w:edit="trackedChanges" w:enforcement="0"/>
  <w:defaultTabStop w:val="420"/>
  <w:drawingGridVerticalSpacing w:val="156"/>
  <w:noPunctuationKerning w:val="1"/>
  <w:characterSpacingControl w:val="compressPunctuation"/>
  <w:doNotValidateAgainstSchema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254C7"/>
    <w:rsid w:val="0030506B"/>
    <w:rsid w:val="0053172D"/>
    <w:rsid w:val="006254C7"/>
    <w:rsid w:val="04E73E44"/>
    <w:rsid w:val="0504224C"/>
    <w:rsid w:val="07F43FB7"/>
    <w:rsid w:val="09EA253C"/>
    <w:rsid w:val="0B154F80"/>
    <w:rsid w:val="0C674103"/>
    <w:rsid w:val="0F6650B4"/>
    <w:rsid w:val="13967ECB"/>
    <w:rsid w:val="141F6B2A"/>
    <w:rsid w:val="14D509E5"/>
    <w:rsid w:val="15845778"/>
    <w:rsid w:val="197D6481"/>
    <w:rsid w:val="1D8C4C87"/>
    <w:rsid w:val="1E1C7506"/>
    <w:rsid w:val="213A13A3"/>
    <w:rsid w:val="227534EC"/>
    <w:rsid w:val="232F38C2"/>
    <w:rsid w:val="24A5292D"/>
    <w:rsid w:val="29162DC1"/>
    <w:rsid w:val="2A952505"/>
    <w:rsid w:val="2CA51804"/>
    <w:rsid w:val="2DFD7F7C"/>
    <w:rsid w:val="314B5B89"/>
    <w:rsid w:val="340E1690"/>
    <w:rsid w:val="35604F1A"/>
    <w:rsid w:val="394B06BD"/>
    <w:rsid w:val="43A14FF9"/>
    <w:rsid w:val="43F300E2"/>
    <w:rsid w:val="45B56151"/>
    <w:rsid w:val="471F6391"/>
    <w:rsid w:val="4A011D1C"/>
    <w:rsid w:val="4C753041"/>
    <w:rsid w:val="4D0705DD"/>
    <w:rsid w:val="4E26126A"/>
    <w:rsid w:val="4E4D6792"/>
    <w:rsid w:val="502F00FE"/>
    <w:rsid w:val="55C63DBA"/>
    <w:rsid w:val="57726541"/>
    <w:rsid w:val="5A2A76A1"/>
    <w:rsid w:val="5E6D099C"/>
    <w:rsid w:val="5F8231C3"/>
    <w:rsid w:val="62687E94"/>
    <w:rsid w:val="6867483C"/>
    <w:rsid w:val="69B320C9"/>
    <w:rsid w:val="6EB11F01"/>
    <w:rsid w:val="72B53214"/>
    <w:rsid w:val="72C57A6D"/>
    <w:rsid w:val="79774F50"/>
    <w:rsid w:val="7CD964DD"/>
    <w:rsid w:val="7CF142FD"/>
    <w:rsid w:val="7EC506CD"/>
    <w:rsid w:val="7FA1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YNDW</Company>
  <Pages>2</Pages>
  <Words>171</Words>
  <Characters>980</Characters>
  <Lines>8</Lines>
  <Paragraphs>2</Paragraphs>
  <TotalTime>2</TotalTime>
  <ScaleCrop>false</ScaleCrop>
  <LinksUpToDate>false</LinksUpToDate>
  <CharactersWithSpaces>1149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2018-04-27T06:48:00Z</cp:lastPrinted>
  <dcterms:modified xsi:type="dcterms:W3CDTF">2021-01-08T07:33:24Z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