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2018年全国双创活动周</w:t>
      </w:r>
      <w:r>
        <w:rPr>
          <w:rFonts w:hint="eastAsia" w:ascii="方正小标宋_GBK" w:hAnsi="方正小标宋_GBK" w:cs="方正小标宋_GBK"/>
          <w:sz w:val="48"/>
          <w:szCs w:val="48"/>
          <w:lang w:val="en-US" w:eastAsia="zh-CN"/>
        </w:rPr>
        <w:t>楚雄州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分会场</w:t>
      </w:r>
    </w:p>
    <w:p>
      <w:pPr>
        <w:pStyle w:val="2"/>
        <w:jc w:val="center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筹备组委会名单</w:t>
      </w:r>
    </w:p>
    <w:p>
      <w:pP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</w:rPr>
        <w:t>为贯彻落实国家发展改革委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推进大众创业万众创新工作电视电话会议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精神</w:t>
      </w:r>
      <w:r>
        <w:rPr>
          <w:rFonts w:hint="eastAsia" w:ascii="Times New Roman" w:hAnsi="Times New Roman" w:eastAsia="方正仿宋_GBK" w:cs="Times New Roman"/>
          <w:sz w:val="36"/>
          <w:szCs w:val="36"/>
          <w:lang w:eastAsia="zh-CN"/>
        </w:rPr>
        <w:t>，按照</w:t>
      </w:r>
      <w:r>
        <w:rPr>
          <w:rFonts w:hint="eastAsia" w:ascii="方正仿宋简体" w:eastAsia="方正仿宋简体"/>
          <w:sz w:val="32"/>
          <w:szCs w:val="32"/>
        </w:rPr>
        <w:t>《云南省发展改革委关于做好2018年双创活动周云南分会场活动相关工作的通知》（云发改高技〔2018〕953号）要求，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为与全国全省同步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组织好201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年双创活动周</w:t>
      </w:r>
      <w:r>
        <w:rPr>
          <w:rFonts w:hint="eastAsia" w:ascii="Times New Roman" w:hAnsi="Times New Roman" w:eastAsia="方正仿宋_GBK" w:cs="Times New Roman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现成立我</w:t>
      </w:r>
      <w:r>
        <w:rPr>
          <w:rFonts w:hint="eastAsia" w:ascii="Times New Roman" w:hAnsi="Times New Roman" w:eastAsia="方正仿宋_GBK" w:cs="Times New Roman"/>
          <w:sz w:val="36"/>
          <w:szCs w:val="36"/>
          <w:lang w:eastAsia="zh-CN"/>
        </w:rPr>
        <w:t>州双创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活动</w:t>
      </w:r>
      <w:r>
        <w:rPr>
          <w:rFonts w:hint="eastAsia" w:ascii="Times New Roman" w:hAnsi="Times New Roman" w:eastAsia="方正仿宋_GBK" w:cs="Times New Roman"/>
          <w:sz w:val="36"/>
          <w:szCs w:val="36"/>
          <w:lang w:eastAsia="zh-CN"/>
        </w:rPr>
        <w:t>周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筹备组委会。具体名单如下：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  <w:t>一、组长单位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发展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改革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委员会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  <w:t>二、副组长单位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科学技术协会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科学技术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局</w:t>
      </w:r>
    </w:p>
    <w:p>
      <w:pPr>
        <w:pStyle w:val="3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  <w:t>成员单位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委宣传部</w:t>
      </w:r>
    </w:p>
    <w:p>
      <w:pPr>
        <w:numPr>
          <w:numId w:val="0"/>
        </w:numPr>
        <w:ind w:firstLine="72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人力资源和社会保障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财政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工业和信息化委员会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教育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州工商局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州公安局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州国土资源局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州住房城乡建设局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农业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州林业局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州商务局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州国资局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州税务局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州统计局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州法制办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中国人民银行楚雄中心支行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州银监局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总工会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共青团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楚雄州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楚雄州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高新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技术产业开发区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楚雄市人民政府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双柏县人民政府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牟定县人民政府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南华县人民政府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姚安县人民政府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大姚县人民政府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永仁县人民政府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元谋县人民政府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武定县人民政府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禄丰县人民政府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1E2C"/>
    <w:multiLevelType w:val="singleLevel"/>
    <w:tmpl w:val="5BB01E2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50828"/>
    <w:rsid w:val="003D6B85"/>
    <w:rsid w:val="22A85DBC"/>
    <w:rsid w:val="26546957"/>
    <w:rsid w:val="31E05F09"/>
    <w:rsid w:val="347B7A4B"/>
    <w:rsid w:val="3AC50828"/>
    <w:rsid w:val="563F7421"/>
    <w:rsid w:val="5BA70C3D"/>
    <w:rsid w:val="61A360E6"/>
    <w:rsid w:val="63A10524"/>
    <w:rsid w:val="6C8018A8"/>
    <w:rsid w:val="7B763A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after="0" w:afterLines="0" w:line="600" w:lineRule="exact"/>
      <w:ind w:firstLine="0" w:firstLineChars="0"/>
      <w:jc w:val="center"/>
      <w:outlineLvl w:val="0"/>
    </w:pPr>
    <w:rPr>
      <w:rFonts w:ascii="Times New Roman" w:hAnsi="Times New Roman" w:eastAsia="方正小标宋_GBK"/>
      <w:bCs/>
      <w:kern w:val="44"/>
      <w:sz w:val="48"/>
      <w:szCs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0" w:firstLineChars="200"/>
      <w:outlineLvl w:val="1"/>
    </w:pPr>
    <w:rPr>
      <w:rFonts w:ascii="Times New Roman" w:hAnsi="Times New Roman" w:eastAsia="方正黑体_GBK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Times New Roman" w:hAnsi="Times New Roman" w:eastAsia="方正黑体_GBK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2018-09-27T08:02:00Z</dcterms:created>
  <dc:creator>杜昊</dc:creator>
  <cp:lastModifiedBy>Administrator</cp:lastModifiedBy>
  <dcterms:modified xsi:type="dcterms:W3CDTF">2018-09-30T00:56:52Z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