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rPr>
          <w:rFonts w:hint="eastAsia" w:eastAsia="方正黑体_GBK"/>
          <w:sz w:val="28"/>
          <w:szCs w:val="28"/>
          <w:lang w:val="en-US" w:eastAsia="zh-CN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8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中央预算内投资绩效目标表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8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2020年度）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8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2"/>
        <w:tblW w:w="88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15"/>
        <w:gridCol w:w="1335"/>
        <w:gridCol w:w="855"/>
        <w:gridCol w:w="3557"/>
        <w:gridCol w:w="11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4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教育现代化推进工程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下达地方或单位</w:t>
            </w:r>
          </w:p>
        </w:tc>
        <w:tc>
          <w:tcPr>
            <w:tcW w:w="4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大姚县、禄丰县发展改革局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本次下达中央预算内投资（万元）</w:t>
            </w:r>
          </w:p>
        </w:tc>
        <w:tc>
          <w:tcPr>
            <w:tcW w:w="4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4000（大姚县、禄丰县各2000万元）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总体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8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line="240" w:lineRule="auto"/>
              <w:ind w:firstLine="560" w:firstLineChars="200"/>
              <w:contextualSpacing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中高等职业学校和应用型本科高校办学条件有所改善，产教融合导向更加明确，人才培养模式得到创新优化。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绩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指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二级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三级指标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实施效果指标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产出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指标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项目数量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过程管理指标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计划管理指标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投资计划分解（转发）用时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≤20个工作日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“两个责任”按项目落实到位率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资金管理指标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  <w:t>中央预算内投资支付率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60%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总投资完成率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项目管理指标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项目开工率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超规模、超标准、超概算项目比例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≤5%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监督检查指标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审计、督查、巡视等指出问题项目比例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≤1%</w:t>
            </w:r>
          </w:p>
        </w:tc>
      </w:tr>
    </w:tbl>
    <w:p>
      <w:pPr>
        <w:snapToGrid w:val="0"/>
        <w:spacing w:line="240" w:lineRule="auto"/>
        <w:ind w:firstLine="360"/>
        <w:contextualSpacing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65B5E"/>
    <w:rsid w:val="06B3298D"/>
    <w:rsid w:val="143377C5"/>
    <w:rsid w:val="47565B5E"/>
    <w:rsid w:val="4E394920"/>
    <w:rsid w:val="52441F58"/>
    <w:rsid w:val="651A433E"/>
    <w:rsid w:val="6E83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exact"/>
      <w:ind w:firstLine="200" w:firstLineChars="200"/>
      <w:jc w:val="both"/>
      <w:textAlignment w:val="center"/>
    </w:pPr>
    <w:rPr>
      <w:rFonts w:ascii="Times New Roman" w:hAnsi="Times New Roman" w:eastAsia="方正仿宋_GBK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2020-03-10T06:12:00Z</dcterms:created>
  <dc:creator>luochunfeng</dc:creator>
  <cp:lastModifiedBy>董金花</cp:lastModifiedBy>
  <cp:lastPrinted>2020-03-12T02:07:34Z</cp:lastPrinted>
  <dcterms:modified xsi:type="dcterms:W3CDTF">2020-03-12T02:11:15Z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