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黑体简体" w:hAnsi="方正黑体简体" w:eastAsia="方正黑体简体" w:cs="方正黑体简体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 w:bidi="ar-SA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  <w:t>云南省2023年第一批新能源建设方案楚雄州项目市场化竞争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44"/>
          <w:szCs w:val="44"/>
          <w:lang w:val="en-US" w:eastAsia="zh-CN"/>
        </w:rPr>
        <w:t>配置开发项目评分标准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eastAsia="zh-CN"/>
        </w:rPr>
      </w:pP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805"/>
        <w:gridCol w:w="2897"/>
        <w:gridCol w:w="5894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tblHeader/>
          <w:jc w:val="center"/>
        </w:trPr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一级指标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二级指标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评分细则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kern w:val="2"/>
                <w:sz w:val="24"/>
                <w:szCs w:val="24"/>
                <w:vertAlign w:val="baseline"/>
                <w:lang w:eastAsia="zh-CN"/>
              </w:rPr>
              <w:t>评分责任单位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  <w:jc w:val="center"/>
        </w:trPr>
        <w:tc>
          <w:tcPr>
            <w:tcW w:w="7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企业综合投资实力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分）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资产负债率（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根据企业上一年度的资产负债率，分档进行综合评分。资产负债率在70%以下，得1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分；在70%-80%的，得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分；资产负债率80%-90%的，得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分；资产负债率在90%以上的，不得分。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州审计局、人行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楚雄州中心支行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楚雄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银保监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信用等级（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根据金融机构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出具的企业信用评估报告评分，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企业信用等级为A级的，得5分；为B级的，得3分；为C级的，得1分；为D级的，不得分。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人行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楚雄州中心支行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楚雄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银保监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3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1-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新能源建设业绩及运营能力（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分）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left"/>
              <w:textAlignment w:val="center"/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企业在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境内已建成投产和在建的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新能源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项目装机规模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合计在50万千瓦及以下的不得分；在50-100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万千瓦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（含100万千瓦）的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分；在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00-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含15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0万千瓦）的，得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分；在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150-200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万千瓦（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含20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0万千瓦）的，得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分；在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200-250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万千瓦（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含25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0万千瓦）的，得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；在25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0万千瓦以上的，得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。（依据报名企业提供的佐证材料进行认定）</w:t>
            </w:r>
          </w:p>
          <w:p>
            <w:pPr>
              <w:keepNext w:val="0"/>
              <w:keepLines w:val="0"/>
              <w:widowControl/>
              <w:suppressLineNumbers w:val="0"/>
              <w:adjustRightInd/>
              <w:spacing w:line="240" w:lineRule="auto"/>
              <w:jc w:val="left"/>
              <w:textAlignment w:val="center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企业在中国境内已建成投产和在建的光伏项目</w:t>
            </w:r>
            <w:r>
              <w:rPr>
                <w:rFonts w:hint="eastAsia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最近五年内发生过重大安全事故的，该项不得分。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项目建设实施能力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分）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2-1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企业建管实力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（1）视企业建设管理团队配置情况得1-5分；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（2）视企业已投产项目获奖情况得1-5分。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2-2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项目前期工作成熟度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30分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（1）开展项目选址评价，完成地形测量等工作，出具现场选址评价意见，视工作完成情况得1-10分，未开展不得分；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（2）完成项目可行性研究报告评审及相关专题专篇，视工作完成情况得1-10分，未开展不得分；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（3）开展项目送出方案研究，视开展情况得1-10分，未开展不得分。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相关县市发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展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改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革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2-3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开工与投产时限承诺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分）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依据省相关文件要求，承诺1个月内完成项目备案的得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;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承诺完成项目备案后2个月内开工建设的得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；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承诺装机规模10万千瓦及以下项目6个月竣工投产、10万千瓦及以上项目8个月竣工投产得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;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承诺一年内全容量并网发电得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各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县市发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展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改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革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706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环境保护与土地利用（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分）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3-1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生态修复方案及措施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（1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企业以其申报项目为基础，结合区域实际特征，编制具有可实施性、成效性的项目生态修复方案，根据方案深度分档综合评分。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优秀得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12-15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分，良好得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8-12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，一般得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3-8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，未提供的不得分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州生态环境局、州水务局、州林草局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706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3-2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土地综合利用及节约用地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措施（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企业编制申报项目实际情况，编制项目节约用地方案，并针对“光伏+”复合项目的“板下经济”发展提出新的模式措施。根据方案的可实施性综合评分，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优秀得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12-15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分，良好得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8-12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12分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，一般得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3-8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（不含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val="en-US" w:eastAsia="zh-CN"/>
              </w:rPr>
              <w:t>8分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）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vertAlign w:val="baseline"/>
                <w:lang w:eastAsia="zh-CN"/>
              </w:rPr>
              <w:t>，未提供的不得分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州自然资源和规划局、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州林草局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加分项（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分）</w:t>
            </w:r>
          </w:p>
        </w:tc>
        <w:tc>
          <w:tcPr>
            <w:tcW w:w="28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4-1</w:t>
            </w:r>
          </w:p>
        </w:tc>
        <w:tc>
          <w:tcPr>
            <w:tcW w:w="10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送出工程建设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分）</w:t>
            </w:r>
          </w:p>
        </w:tc>
        <w:tc>
          <w:tcPr>
            <w:tcW w:w="20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承诺项目送出工程由企业自主投资建设的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eastAsia="zh-CN"/>
              </w:rPr>
              <w:t>，加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>10分。</w:t>
            </w:r>
          </w:p>
        </w:tc>
        <w:tc>
          <w:tcPr>
            <w:tcW w:w="9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州发展改革委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0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总分（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val="en-US" w:eastAsia="zh-CN"/>
              </w:rPr>
              <w:t>110分</w:t>
            </w:r>
            <w:r>
              <w:rPr>
                <w:rFonts w:hint="eastAsia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4293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kern w:val="2"/>
                <w:sz w:val="21"/>
                <w:szCs w:val="21"/>
                <w:vertAlign w:val="baseline"/>
                <w:lang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0770"/>
    <w:rsid w:val="1CD3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560" w:lineRule="atLeast"/>
      <w:jc w:val="both"/>
      <w:textAlignment w:val="baseline"/>
    </w:pPr>
    <w:rPr>
      <w:rFonts w:ascii="Calibri" w:hAnsi="Calibri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unhideWhenUsed/>
    <w:qFormat/>
    <w:uiPriority w:val="99"/>
    <w:pPr>
      <w:widowControl w:val="0"/>
      <w:jc w:val="both"/>
    </w:pPr>
    <w:rPr>
      <w:rFonts w:ascii="宋体" w:hAnsi="Times New Roman" w:eastAsia="宋体" w:cs="Times New Roman"/>
      <w:kern w:val="0"/>
      <w:sz w:val="18"/>
      <w:szCs w:val="18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2023-11-10T01:25:00Z</dcterms:created>
  <dc:creator>User</dc:creator>
  <cp:lastModifiedBy>User</cp:lastModifiedBy>
  <dcterms:modified xsi:type="dcterms:W3CDTF">2023-11-10T01:30:24Z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