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楚雄州2024年第二批、第三批光伏项目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市场化竞争配置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报名材料清单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申报材料名称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楚雄州2024年第二批、第三批光伏项目市场化竞争配置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报名表</w:t>
            </w:r>
            <w:r>
              <w:rPr>
                <w:rStyle w:val="7"/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《报名材料真实性承诺书》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企业法人出具的市场化竞争配置报名经办人授权书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企业综合投资实力说明及佐证材料（包括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不限于资产负债率、信用等级、新能源建设业绩及运营能力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项目建设实施能力说明及佐证材料（包括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不限于竞配项目清单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、企业建管实力、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已形成的前期工作相关材料、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竞配项目开工投产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环境保护与土地利用说明及佐证材料（包括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不限于生态修复方案及措施、土地综合利用及节约用地措施等）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28"/>
          <w:szCs w:val="28"/>
          <w:lang w:eastAsia="zh-CN"/>
        </w:rPr>
        <w:t>备注：请将以上材料装订成册（一式十份）。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42F92"/>
    <w:rsid w:val="30E4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2025-01-13T01:43:00Z</dcterms:created>
  <dc:creator>User</dc:creator>
  <cp:lastModifiedBy>User</cp:lastModifiedBy>
  <dcterms:modified xsi:type="dcterms:W3CDTF">2025-01-13T01:47:52Z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B2C4F193B78949F6B0E15820AA9BC21C</vt:lpwstr>
  </property>
</Properties>
</file>