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560" w:lineRule="exact"/>
        <w:jc w:val="both"/>
        <w:textAlignment w:val="auto"/>
        <w:rPr>
          <w:rFonts w:hint="default" w:ascii="方正黑体简体" w:hAnsi="方正黑体简体" w:eastAsia="方正黑体简体" w:cs="方正黑体简体"/>
          <w:kern w:val="2"/>
          <w:sz w:val="32"/>
          <w:szCs w:val="32"/>
          <w:lang w:val="en-US" w:eastAsia="zh-CN"/>
        </w:rPr>
      </w:pPr>
      <w:r>
        <w:rPr>
          <w:rFonts w:hint="eastAsia" w:ascii="方正黑体简体" w:hAnsi="方正黑体简体" w:eastAsia="方正黑体简体" w:cs="方正黑体简体"/>
          <w:kern w:val="2"/>
          <w:sz w:val="32"/>
          <w:szCs w:val="32"/>
          <w:lang w:eastAsia="zh-CN"/>
        </w:rPr>
        <w:t>附件</w:t>
      </w:r>
      <w:r>
        <w:rPr>
          <w:rFonts w:hint="eastAsia" w:ascii="方正黑体简体" w:hAnsi="方正黑体简体" w:eastAsia="方正黑体简体" w:cs="方正黑体简体"/>
          <w:kern w:val="2"/>
          <w:sz w:val="32"/>
          <w:szCs w:val="32"/>
          <w:lang w:val="en-US" w:eastAsia="zh-CN"/>
        </w:rPr>
        <w:t>2</w:t>
      </w:r>
    </w:p>
    <w:p>
      <w:pPr>
        <w:keepNext w:val="0"/>
        <w:keepLines w:val="0"/>
        <w:pageBreakBefore w:val="0"/>
        <w:widowControl w:val="0"/>
        <w:suppressAutoHyphens/>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kern w:val="2"/>
          <w:sz w:val="32"/>
          <w:szCs w:val="32"/>
          <w:lang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lang w:val="en-US" w:eastAsia="zh-CN"/>
        </w:rPr>
      </w:pPr>
      <w:r>
        <w:rPr>
          <w:rFonts w:hint="eastAsia" w:ascii="方正小标宋简体" w:hAnsi="方正小标宋简体" w:eastAsia="方正小标宋简体" w:cs="方正小标宋简体"/>
          <w:color w:val="auto"/>
          <w:kern w:val="2"/>
          <w:sz w:val="44"/>
          <w:szCs w:val="44"/>
          <w:lang w:val="en-US" w:eastAsia="zh-CN"/>
        </w:rPr>
        <w:t>楚雄州2024年第二批、第三批风电项目</w:t>
      </w: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kern w:val="2"/>
          <w:sz w:val="32"/>
          <w:szCs w:val="32"/>
          <w:lang w:eastAsia="zh-CN"/>
        </w:rPr>
      </w:pPr>
      <w:r>
        <w:rPr>
          <w:rFonts w:hint="eastAsia" w:ascii="方正小标宋简体" w:hAnsi="方正小标宋简体" w:eastAsia="方正小标宋简体" w:cs="方正小标宋简体"/>
          <w:kern w:val="2"/>
          <w:sz w:val="44"/>
          <w:szCs w:val="44"/>
          <w:lang w:val="en-US" w:eastAsia="zh-CN"/>
        </w:rPr>
        <w:t>市场化竞争配置报名材料清单</w:t>
      </w:r>
    </w:p>
    <w:p>
      <w:pPr>
        <w:keepNext w:val="0"/>
        <w:keepLines w:val="0"/>
        <w:pageBreakBefore w:val="0"/>
        <w:widowControl w:val="0"/>
        <w:suppressAutoHyphens/>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kern w:val="2"/>
          <w:sz w:val="32"/>
          <w:szCs w:val="32"/>
          <w:lang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kern w:val="2"/>
                <w:sz w:val="24"/>
                <w:szCs w:val="24"/>
                <w:vertAlign w:val="baseline"/>
                <w:lang w:eastAsia="zh-CN"/>
              </w:rPr>
            </w:pPr>
            <w:r>
              <w:rPr>
                <w:rFonts w:hint="eastAsia" w:ascii="方正黑体简体" w:hAnsi="方正黑体简体" w:eastAsia="方正黑体简体" w:cs="方正黑体简体"/>
                <w:kern w:val="2"/>
                <w:sz w:val="24"/>
                <w:szCs w:val="24"/>
                <w:vertAlign w:val="baseline"/>
                <w:lang w:eastAsia="zh-CN"/>
              </w:rPr>
              <w:t>序号</w:t>
            </w:r>
          </w:p>
        </w:tc>
        <w:tc>
          <w:tcPr>
            <w:tcW w:w="789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kern w:val="2"/>
                <w:sz w:val="24"/>
                <w:szCs w:val="24"/>
                <w:vertAlign w:val="baseline"/>
                <w:lang w:eastAsia="zh-CN"/>
              </w:rPr>
            </w:pPr>
            <w:r>
              <w:rPr>
                <w:rFonts w:hint="eastAsia" w:ascii="方正黑体简体" w:hAnsi="方正黑体简体" w:eastAsia="方正黑体简体" w:cs="方正黑体简体"/>
                <w:kern w:val="2"/>
                <w:sz w:val="24"/>
                <w:szCs w:val="24"/>
                <w:vertAlign w:val="baseline"/>
                <w:lang w:eastAsia="zh-CN"/>
              </w:rPr>
              <w:t>申报材料名称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67" w:type="dxa"/>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kern w:val="2"/>
                <w:sz w:val="24"/>
                <w:szCs w:val="24"/>
                <w:vertAlign w:val="baseline"/>
                <w:lang w:eastAsia="zh-CN"/>
              </w:rPr>
            </w:pPr>
            <w:r>
              <w:rPr>
                <w:rFonts w:hint="default" w:ascii="Times New Roman" w:hAnsi="Times New Roman" w:eastAsia="方正仿宋简体" w:cs="Times New Roman"/>
                <w:i w:val="0"/>
                <w:color w:val="000000"/>
                <w:kern w:val="0"/>
                <w:sz w:val="24"/>
                <w:szCs w:val="24"/>
                <w:u w:val="none"/>
                <w:lang w:val="en-US" w:eastAsia="zh-CN" w:bidi="ar"/>
              </w:rPr>
              <w:t>1</w:t>
            </w:r>
          </w:p>
        </w:tc>
        <w:tc>
          <w:tcPr>
            <w:tcW w:w="7894" w:type="dxa"/>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kern w:val="2"/>
                <w:sz w:val="24"/>
                <w:szCs w:val="24"/>
                <w:vertAlign w:val="baseline"/>
                <w:lang w:eastAsia="zh-CN"/>
              </w:rPr>
            </w:pPr>
            <w:r>
              <w:rPr>
                <w:rFonts w:hint="default" w:ascii="Times New Roman" w:hAnsi="Times New Roman" w:eastAsia="方正仿宋简体" w:cs="Times New Roman"/>
                <w:i w:val="0"/>
                <w:color w:val="000000"/>
                <w:kern w:val="0"/>
                <w:sz w:val="24"/>
                <w:szCs w:val="24"/>
                <w:u w:val="none"/>
                <w:lang w:val="en-US" w:eastAsia="zh-CN" w:bidi="ar"/>
              </w:rPr>
              <w:t>《</w:t>
            </w:r>
            <w:r>
              <w:rPr>
                <w:rFonts w:hint="default" w:ascii="Times New Roman" w:hAnsi="Times New Roman" w:eastAsia="方正仿宋简体" w:cs="Times New Roman"/>
                <w:color w:val="auto"/>
                <w:spacing w:val="-6"/>
                <w:kern w:val="2"/>
                <w:sz w:val="24"/>
                <w:szCs w:val="24"/>
                <w:lang w:val="en-US" w:eastAsia="zh-CN"/>
              </w:rPr>
              <w:t>楚雄州2024年第二批、第三批风电项目市场化竞争配置报名表</w:t>
            </w:r>
            <w:r>
              <w:rPr>
                <w:rStyle w:val="7"/>
                <w:rFonts w:hint="default" w:ascii="Times New Roman" w:hAnsi="Times New Roman" w:eastAsia="方正仿宋简体" w:cs="Times New Roman"/>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67" w:type="dxa"/>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kern w:val="2"/>
                <w:sz w:val="24"/>
                <w:szCs w:val="24"/>
                <w:vertAlign w:val="baseline"/>
                <w:lang w:eastAsia="zh-CN"/>
              </w:rPr>
            </w:pPr>
            <w:r>
              <w:rPr>
                <w:rFonts w:hint="default" w:ascii="Times New Roman" w:hAnsi="Times New Roman" w:eastAsia="方正仿宋简体" w:cs="Times New Roman"/>
                <w:i w:val="0"/>
                <w:color w:val="000000"/>
                <w:kern w:val="0"/>
                <w:sz w:val="24"/>
                <w:szCs w:val="24"/>
                <w:u w:val="none"/>
                <w:lang w:val="en-US" w:eastAsia="zh-CN" w:bidi="ar"/>
              </w:rPr>
              <w:t>2</w:t>
            </w:r>
          </w:p>
        </w:tc>
        <w:tc>
          <w:tcPr>
            <w:tcW w:w="7894" w:type="dxa"/>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kern w:val="2"/>
                <w:sz w:val="24"/>
                <w:szCs w:val="24"/>
                <w:vertAlign w:val="baseline"/>
                <w:lang w:eastAsia="zh-CN"/>
              </w:rPr>
            </w:pPr>
            <w:r>
              <w:rPr>
                <w:rFonts w:hint="default" w:ascii="Times New Roman" w:hAnsi="Times New Roman" w:eastAsia="方正仿宋简体" w:cs="Times New Roman"/>
                <w:i w:val="0"/>
                <w:color w:val="000000"/>
                <w:kern w:val="0"/>
                <w:sz w:val="24"/>
                <w:szCs w:val="24"/>
                <w:u w:val="none"/>
                <w:lang w:val="en-US" w:eastAsia="zh-CN" w:bidi="ar"/>
              </w:rPr>
              <w:t>企业营业执照复印件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67" w:type="dxa"/>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kern w:val="2"/>
                <w:sz w:val="24"/>
                <w:szCs w:val="24"/>
                <w:vertAlign w:val="baseline"/>
                <w:lang w:eastAsia="zh-CN"/>
              </w:rPr>
            </w:pPr>
            <w:r>
              <w:rPr>
                <w:rFonts w:hint="default" w:ascii="Times New Roman" w:hAnsi="Times New Roman" w:eastAsia="方正仿宋简体" w:cs="Times New Roman"/>
                <w:i w:val="0"/>
                <w:color w:val="000000"/>
                <w:kern w:val="0"/>
                <w:sz w:val="24"/>
                <w:szCs w:val="24"/>
                <w:u w:val="none"/>
                <w:lang w:val="en-US" w:eastAsia="zh-CN" w:bidi="ar"/>
              </w:rPr>
              <w:t>3</w:t>
            </w:r>
          </w:p>
        </w:tc>
        <w:tc>
          <w:tcPr>
            <w:tcW w:w="7894" w:type="dxa"/>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kern w:val="2"/>
                <w:sz w:val="24"/>
                <w:szCs w:val="24"/>
                <w:vertAlign w:val="baseline"/>
                <w:lang w:eastAsia="zh-CN"/>
              </w:rPr>
            </w:pPr>
            <w:r>
              <w:rPr>
                <w:rFonts w:hint="default" w:ascii="Times New Roman" w:hAnsi="Times New Roman" w:eastAsia="方正仿宋简体" w:cs="Times New Roman"/>
                <w:i w:val="0"/>
                <w:color w:val="000000"/>
                <w:kern w:val="0"/>
                <w:sz w:val="24"/>
                <w:szCs w:val="24"/>
                <w:u w:val="none"/>
                <w:lang w:val="en-US" w:eastAsia="zh-CN" w:bidi="ar"/>
              </w:rPr>
              <w:t>《报名材料真实性承诺书》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67" w:type="dxa"/>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kern w:val="2"/>
                <w:sz w:val="24"/>
                <w:szCs w:val="24"/>
                <w:vertAlign w:val="baseline"/>
                <w:lang w:eastAsia="zh-CN"/>
              </w:rPr>
            </w:pPr>
            <w:r>
              <w:rPr>
                <w:rFonts w:hint="default" w:ascii="Times New Roman" w:hAnsi="Times New Roman" w:eastAsia="方正仿宋简体" w:cs="Times New Roman"/>
                <w:i w:val="0"/>
                <w:color w:val="000000"/>
                <w:kern w:val="0"/>
                <w:sz w:val="24"/>
                <w:szCs w:val="24"/>
                <w:u w:val="none"/>
                <w:lang w:val="en-US" w:eastAsia="zh-CN" w:bidi="ar"/>
              </w:rPr>
              <w:t>4</w:t>
            </w:r>
          </w:p>
        </w:tc>
        <w:tc>
          <w:tcPr>
            <w:tcW w:w="7894" w:type="dxa"/>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kern w:val="2"/>
                <w:sz w:val="24"/>
                <w:szCs w:val="24"/>
                <w:vertAlign w:val="baseline"/>
                <w:lang w:eastAsia="zh-CN"/>
              </w:rPr>
            </w:pPr>
            <w:r>
              <w:rPr>
                <w:rFonts w:hint="default" w:ascii="Times New Roman" w:hAnsi="Times New Roman" w:eastAsia="方正仿宋简体" w:cs="Times New Roman"/>
                <w:i w:val="0"/>
                <w:color w:val="000000"/>
                <w:kern w:val="0"/>
                <w:sz w:val="24"/>
                <w:szCs w:val="24"/>
                <w:u w:val="none"/>
                <w:lang w:val="en-US" w:eastAsia="zh-CN" w:bidi="ar"/>
              </w:rPr>
              <w:t>企业法人出具的市场化竞争配置报名经办人授权书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67" w:type="dxa"/>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kern w:val="2"/>
                <w:sz w:val="24"/>
                <w:szCs w:val="24"/>
                <w:vertAlign w:val="baseline"/>
                <w:lang w:eastAsia="zh-CN"/>
              </w:rPr>
            </w:pPr>
            <w:r>
              <w:rPr>
                <w:rFonts w:hint="default" w:ascii="Times New Roman" w:hAnsi="Times New Roman" w:eastAsia="方正仿宋简体" w:cs="Times New Roman"/>
                <w:i w:val="0"/>
                <w:color w:val="000000"/>
                <w:kern w:val="0"/>
                <w:sz w:val="24"/>
                <w:szCs w:val="24"/>
                <w:u w:val="none"/>
                <w:lang w:val="en-US" w:eastAsia="zh-CN" w:bidi="ar"/>
              </w:rPr>
              <w:t>5</w:t>
            </w:r>
          </w:p>
        </w:tc>
        <w:tc>
          <w:tcPr>
            <w:tcW w:w="7894" w:type="dxa"/>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kern w:val="2"/>
                <w:sz w:val="24"/>
                <w:szCs w:val="24"/>
                <w:vertAlign w:val="baseline"/>
                <w:lang w:eastAsia="zh-CN"/>
              </w:rPr>
            </w:pPr>
            <w:r>
              <w:rPr>
                <w:rFonts w:hint="default" w:ascii="Times New Roman" w:hAnsi="Times New Roman" w:eastAsia="方正仿宋简体" w:cs="Times New Roman"/>
                <w:i w:val="0"/>
                <w:color w:val="000000"/>
                <w:kern w:val="0"/>
                <w:sz w:val="24"/>
                <w:szCs w:val="24"/>
                <w:u w:val="none"/>
                <w:lang w:val="en-US" w:eastAsia="zh-CN" w:bidi="ar"/>
              </w:rPr>
              <w:t>企业综合投资实力说明及佐证材料（包括</w:t>
            </w:r>
            <w:r>
              <w:rPr>
                <w:rFonts w:hint="eastAsia" w:ascii="Times New Roman" w:hAnsi="Times New Roman" w:eastAsia="方正仿宋简体" w:cs="Times New Roman"/>
                <w:i w:val="0"/>
                <w:color w:val="000000"/>
                <w:kern w:val="0"/>
                <w:sz w:val="24"/>
                <w:szCs w:val="24"/>
                <w:u w:val="none"/>
                <w:lang w:val="en-US" w:eastAsia="zh-CN" w:bidi="ar"/>
              </w:rPr>
              <w:t>但</w:t>
            </w:r>
            <w:r>
              <w:rPr>
                <w:rFonts w:hint="default" w:ascii="Times New Roman" w:hAnsi="Times New Roman" w:eastAsia="方正仿宋简体" w:cs="Times New Roman"/>
                <w:i w:val="0"/>
                <w:color w:val="000000"/>
                <w:kern w:val="0"/>
                <w:sz w:val="24"/>
                <w:szCs w:val="24"/>
                <w:u w:val="none"/>
                <w:lang w:val="en-US" w:eastAsia="zh-CN" w:bidi="ar"/>
              </w:rPr>
              <w:t>不限于资产负债率、信用等级、新能源建设业绩及运营能力</w:t>
            </w:r>
            <w:r>
              <w:rPr>
                <w:rFonts w:hint="eastAsia" w:ascii="Times New Roman" w:hAnsi="Times New Roman" w:eastAsia="方正仿宋简体" w:cs="Times New Roman"/>
                <w:i w:val="0"/>
                <w:color w:val="000000"/>
                <w:kern w:val="0"/>
                <w:sz w:val="24"/>
                <w:szCs w:val="24"/>
                <w:u w:val="none"/>
                <w:lang w:val="en-US" w:eastAsia="zh-CN" w:bidi="ar"/>
              </w:rPr>
              <w:t>等</w:t>
            </w:r>
            <w:r>
              <w:rPr>
                <w:rFonts w:hint="default" w:ascii="Times New Roman" w:hAnsi="Times New Roman" w:eastAsia="方正仿宋简体" w:cs="Times New Roman"/>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67" w:type="dxa"/>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kern w:val="2"/>
                <w:sz w:val="24"/>
                <w:szCs w:val="24"/>
                <w:vertAlign w:val="baseline"/>
                <w:lang w:eastAsia="zh-CN"/>
              </w:rPr>
            </w:pPr>
            <w:r>
              <w:rPr>
                <w:rFonts w:hint="default" w:ascii="Times New Roman" w:hAnsi="Times New Roman" w:eastAsia="方正仿宋简体" w:cs="Times New Roman"/>
                <w:i w:val="0"/>
                <w:color w:val="000000"/>
                <w:kern w:val="0"/>
                <w:sz w:val="24"/>
                <w:szCs w:val="24"/>
                <w:u w:val="none"/>
                <w:lang w:val="en-US" w:eastAsia="zh-CN" w:bidi="ar"/>
              </w:rPr>
              <w:t>6</w:t>
            </w:r>
          </w:p>
        </w:tc>
        <w:tc>
          <w:tcPr>
            <w:tcW w:w="7894" w:type="dxa"/>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kern w:val="2"/>
                <w:sz w:val="24"/>
                <w:szCs w:val="24"/>
                <w:vertAlign w:val="baseline"/>
                <w:lang w:eastAsia="zh-CN"/>
              </w:rPr>
            </w:pPr>
            <w:r>
              <w:rPr>
                <w:rFonts w:hint="default" w:ascii="Times New Roman" w:hAnsi="Times New Roman" w:eastAsia="方正仿宋简体" w:cs="Times New Roman"/>
                <w:i w:val="0"/>
                <w:color w:val="000000"/>
                <w:kern w:val="0"/>
                <w:sz w:val="24"/>
                <w:szCs w:val="24"/>
                <w:u w:val="none"/>
                <w:lang w:val="en-US" w:eastAsia="zh-CN" w:bidi="ar"/>
              </w:rPr>
              <w:t>项目建设实施能力说明及佐证材料（包括</w:t>
            </w:r>
            <w:r>
              <w:rPr>
                <w:rFonts w:hint="eastAsia" w:ascii="Times New Roman" w:hAnsi="Times New Roman" w:eastAsia="方正仿宋简体" w:cs="Times New Roman"/>
                <w:i w:val="0"/>
                <w:color w:val="000000"/>
                <w:kern w:val="0"/>
                <w:sz w:val="24"/>
                <w:szCs w:val="24"/>
                <w:u w:val="none"/>
                <w:lang w:val="en-US" w:eastAsia="zh-CN" w:bidi="ar"/>
              </w:rPr>
              <w:t>但</w:t>
            </w:r>
            <w:r>
              <w:rPr>
                <w:rFonts w:hint="default" w:ascii="Times New Roman" w:hAnsi="Times New Roman" w:eastAsia="方正仿宋简体" w:cs="Times New Roman"/>
                <w:i w:val="0"/>
                <w:color w:val="000000"/>
                <w:kern w:val="0"/>
                <w:sz w:val="24"/>
                <w:szCs w:val="24"/>
                <w:u w:val="none"/>
                <w:lang w:val="en-US" w:eastAsia="zh-CN" w:bidi="ar"/>
              </w:rPr>
              <w:t>不限于竞配项目清单</w:t>
            </w:r>
            <w:r>
              <w:rPr>
                <w:rFonts w:hint="eastAsia" w:ascii="Times New Roman" w:hAnsi="Times New Roman" w:eastAsia="方正仿宋简体" w:cs="Times New Roman"/>
                <w:i w:val="0"/>
                <w:color w:val="000000"/>
                <w:kern w:val="0"/>
                <w:sz w:val="24"/>
                <w:szCs w:val="24"/>
                <w:u w:val="none"/>
                <w:lang w:val="en-US" w:eastAsia="zh-CN" w:bidi="ar"/>
              </w:rPr>
              <w:t>、企业建管实力、</w:t>
            </w:r>
            <w:r>
              <w:rPr>
                <w:rFonts w:hint="eastAsia" w:ascii="Times New Roman" w:hAnsi="Times New Roman" w:eastAsia="方正仿宋简体" w:cs="Times New Roman"/>
                <w:i w:val="0"/>
                <w:color w:val="000000"/>
                <w:kern w:val="0"/>
                <w:sz w:val="24"/>
                <w:szCs w:val="24"/>
                <w:highlight w:val="none"/>
                <w:u w:val="none"/>
                <w:lang w:val="en-US" w:eastAsia="zh-CN" w:bidi="ar"/>
              </w:rPr>
              <w:t>已形成的前期工作相关材料</w:t>
            </w:r>
            <w:r>
              <w:rPr>
                <w:rFonts w:hint="eastAsia" w:ascii="Times New Roman" w:hAnsi="Times New Roman" w:eastAsia="方正仿宋简体" w:cs="Times New Roman"/>
                <w:i w:val="0"/>
                <w:color w:val="000000"/>
                <w:kern w:val="0"/>
                <w:sz w:val="24"/>
                <w:szCs w:val="24"/>
                <w:u w:val="none"/>
                <w:lang w:val="en-US" w:eastAsia="zh-CN" w:bidi="ar"/>
              </w:rPr>
              <w:t>等</w:t>
            </w:r>
            <w:r>
              <w:rPr>
                <w:rFonts w:hint="default" w:ascii="Times New Roman" w:hAnsi="Times New Roman" w:eastAsia="方正仿宋简体" w:cs="Times New Roman"/>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67" w:type="dxa"/>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7</w:t>
            </w:r>
          </w:p>
        </w:tc>
        <w:tc>
          <w:tcPr>
            <w:tcW w:w="7894" w:type="dxa"/>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调节性资源建设贡献</w:t>
            </w:r>
            <w:r>
              <w:rPr>
                <w:rFonts w:hint="eastAsia" w:ascii="Times New Roman" w:hAnsi="Times New Roman" w:eastAsia="方正仿宋简体" w:cs="Times New Roman"/>
                <w:i w:val="0"/>
                <w:color w:val="000000"/>
                <w:kern w:val="0"/>
                <w:sz w:val="24"/>
                <w:szCs w:val="24"/>
                <w:u w:val="none"/>
                <w:lang w:val="en-US" w:eastAsia="zh-CN" w:bidi="ar"/>
              </w:rPr>
              <w:t>说明及佐证材料（包括但不限于2024年内建成或取得省级相关文件支持开发建设火电或燃气发电项目情况等）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67" w:type="dxa"/>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8</w:t>
            </w:r>
          </w:p>
        </w:tc>
        <w:tc>
          <w:tcPr>
            <w:tcW w:w="7894" w:type="dxa"/>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环境保护与土地利用说明及佐证材料（包括</w:t>
            </w:r>
            <w:r>
              <w:rPr>
                <w:rFonts w:hint="eastAsia" w:ascii="Times New Roman" w:hAnsi="Times New Roman" w:eastAsia="方正仿宋简体" w:cs="Times New Roman"/>
                <w:i w:val="0"/>
                <w:color w:val="000000"/>
                <w:kern w:val="0"/>
                <w:sz w:val="24"/>
                <w:szCs w:val="24"/>
                <w:u w:val="none"/>
                <w:lang w:val="en-US" w:eastAsia="zh-CN" w:bidi="ar"/>
              </w:rPr>
              <w:t>但</w:t>
            </w:r>
            <w:r>
              <w:rPr>
                <w:rFonts w:hint="default" w:ascii="Times New Roman" w:hAnsi="Times New Roman" w:eastAsia="方正仿宋简体" w:cs="Times New Roman"/>
                <w:i w:val="0"/>
                <w:color w:val="000000"/>
                <w:kern w:val="0"/>
                <w:sz w:val="24"/>
                <w:szCs w:val="24"/>
                <w:u w:val="none"/>
                <w:lang w:val="en-US" w:eastAsia="zh-CN" w:bidi="ar"/>
              </w:rPr>
              <w:t>不限于生态修复方案及措施、土地综合利用及节约用地措施等）</w:t>
            </w:r>
          </w:p>
        </w:tc>
      </w:tr>
    </w:tbl>
    <w:p>
      <w:pPr>
        <w:keepNext w:val="0"/>
        <w:keepLines w:val="0"/>
        <w:pageBreakBefore w:val="0"/>
        <w:widowControl w:val="0"/>
        <w:suppressAutoHyphens/>
        <w:kinsoku/>
        <w:wordWrap/>
        <w:overflowPunct/>
        <w:topLinePunct w:val="0"/>
        <w:autoSpaceDE/>
        <w:autoSpaceDN/>
        <w:bidi w:val="0"/>
        <w:adjustRightInd/>
        <w:snapToGrid/>
        <w:spacing w:line="560" w:lineRule="exact"/>
        <w:jc w:val="both"/>
        <w:textAlignment w:val="auto"/>
        <w:rPr>
          <w:rFonts w:hint="eastAsia" w:ascii="方正黑体简体" w:hAnsi="方正黑体简体" w:eastAsia="方正黑体简体" w:cs="方正黑体简体"/>
          <w:kern w:val="0"/>
          <w:sz w:val="32"/>
          <w:szCs w:val="32"/>
          <w:lang w:val="en-US" w:eastAsia="zh-CN" w:bidi="ar-SA"/>
        </w:rPr>
      </w:pPr>
      <w:r>
        <w:rPr>
          <w:rFonts w:hint="eastAsia" w:ascii="方正楷体简体" w:hAnsi="方正楷体简体" w:eastAsia="方正楷体简体" w:cs="方正楷体简体"/>
          <w:kern w:val="2"/>
          <w:sz w:val="28"/>
          <w:szCs w:val="28"/>
          <w:lang w:eastAsia="zh-CN"/>
        </w:rPr>
        <w:t>备注：请将以上材料装订成册（一式十份）。</w:t>
      </w:r>
    </w:p>
    <w:p>
      <w:pPr>
        <w:keepNext w:val="0"/>
        <w:keepLines w:val="0"/>
        <w:pageBreakBefore w:val="0"/>
        <w:widowControl w:val="0"/>
        <w:suppressAutoHyphens/>
        <w:kinsoku/>
        <w:wordWrap/>
        <w:overflowPunct/>
        <w:topLinePunct w:val="0"/>
        <w:autoSpaceDE/>
        <w:autoSpaceDN/>
        <w:bidi w:val="0"/>
        <w:adjustRightInd/>
        <w:snapToGrid/>
        <w:spacing w:line="560" w:lineRule="exact"/>
        <w:jc w:val="both"/>
        <w:textAlignment w:val="auto"/>
        <w:rPr>
          <w:rFonts w:hint="eastAsia" w:ascii="方正黑体简体" w:hAnsi="方正黑体简体" w:eastAsia="方正黑体简体" w:cs="方正黑体简体"/>
          <w:kern w:val="0"/>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560" w:lineRule="exact"/>
        <w:jc w:val="both"/>
        <w:textAlignment w:val="auto"/>
        <w:rPr>
          <w:rFonts w:hint="eastAsia" w:ascii="方正黑体简体" w:hAnsi="方正黑体简体" w:eastAsia="方正黑体简体" w:cs="方正黑体简体"/>
          <w:kern w:val="0"/>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560" w:lineRule="exact"/>
        <w:jc w:val="both"/>
        <w:textAlignment w:val="auto"/>
        <w:rPr>
          <w:rFonts w:hint="eastAsia" w:ascii="方正黑体简体" w:hAnsi="方正黑体简体" w:eastAsia="方正黑体简体" w:cs="方正黑体简体"/>
          <w:kern w:val="0"/>
          <w:sz w:val="32"/>
          <w:szCs w:val="32"/>
          <w:lang w:val="en-US" w:eastAsia="zh-CN" w:bidi="ar-S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25219"/>
    <w:rsid w:val="1F625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before="0" w:after="140" w:line="276" w:lineRule="auto"/>
    </w:pPr>
  </w:style>
  <w:style w:type="paragraph" w:styleId="3">
    <w:name w:val="Title"/>
    <w:next w:val="1"/>
    <w:qFormat/>
    <w:uiPriority w:val="0"/>
    <w:pPr>
      <w:widowControl/>
      <w:adjustRightInd w:val="0"/>
      <w:spacing w:before="240" w:after="60" w:line="560" w:lineRule="exact"/>
      <w:jc w:val="center"/>
      <w:textAlignment w:val="baseline"/>
      <w:outlineLvl w:val="0"/>
    </w:pPr>
    <w:rPr>
      <w:rFonts w:ascii="Arial" w:hAnsi="Arial" w:eastAsia="华文中宋" w:cs="Arial"/>
      <w:b/>
      <w:bCs/>
      <w:color w:val="FF0000"/>
      <w:kern w:val="0"/>
      <w:sz w:val="84"/>
      <w:szCs w:val="32"/>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21"/>
    <w:qFormat/>
    <w:uiPriority w:val="0"/>
    <w:rPr>
      <w:rFonts w:hint="eastAsia" w:ascii="方正仿宋简体" w:hAnsi="方正仿宋简体" w:eastAsia="方正仿宋简体" w:cs="方正仿宋简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2025-01-13T01:58:00Z</dcterms:created>
  <dc:creator>User</dc:creator>
  <cp:lastModifiedBy>User</cp:lastModifiedBy>
  <dcterms:modified xsi:type="dcterms:W3CDTF">2025-01-13T01:58:47Z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4E6C483B910F45949BD6F4D7733A7BC3</vt:lpwstr>
  </property>
</Properties>
</file>