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>
      <w:pPr>
        <w:spacing w:line="360" w:lineRule="exact"/>
        <w:jc w:val="left"/>
        <w:rPr>
          <w:rFonts w:hint="eastAsia" w:ascii="宋体" w:hAnsi="宋体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spacing w:line="70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2025年“数据要素×”大赛云南分</w:t>
      </w:r>
      <w:bookmarkStart w:id="0" w:name="hmcheck_b3091939faf240f2bff411798f9bc317"/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赛</w:t>
      </w:r>
      <w:bookmarkEnd w:id="0"/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评价指标</w:t>
      </w:r>
    </w:p>
    <w:p>
      <w:pPr>
        <w:spacing w:line="300" w:lineRule="exact"/>
        <w:jc w:val="center"/>
        <w:rPr>
          <w:rFonts w:hint="default" w:ascii="宋体" w:hAnsi="宋体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</w:p>
    <w:tbl>
      <w:tblPr>
        <w:tblStyle w:val="4"/>
        <w:tblW w:w="13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61"/>
        <w:gridCol w:w="908"/>
        <w:gridCol w:w="1054"/>
        <w:gridCol w:w="2964"/>
        <w:gridCol w:w="857"/>
        <w:gridCol w:w="5018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一级指标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二级指标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三级指标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指标说明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分值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评分标准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shd w:val="clear" w:color="auto" w:fill="auto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先进性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治理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数据治理标准规范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评价项目用于数据治理的标准规范制定情况。包括且不限于：数据字典、数据分类、数据编码、数据开放共享、数据全生命周期管理、数据质量管理、数据资产管理等方面。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</w:t>
            </w:r>
            <w:bookmarkStart w:id="1" w:name="hmcheck_a2ae5c9c1f70432a9e7cc52e1a27183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3分-4分</w:t>
            </w:r>
            <w:bookmarkStart w:id="2" w:name="hmcheck_1a189dbe026d4161a089a5d52320f6d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</w:t>
            </w:r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含4分）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</w:t>
            </w:r>
            <w:bookmarkStart w:id="3" w:name="hmcheck_3733c65e7ec24d178d942d858ab892e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bookmarkStart w:id="4" w:name="hmcheck_3c99581a8bb84f00887809b8cb97adf7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含3分）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</w:t>
            </w:r>
            <w:bookmarkStart w:id="5" w:name="hmcheck_dba56c9238c14b7aa7ac2c7a26fe500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bookmarkStart w:id="6" w:name="hmcheck_02ea4f12dc96452dbf431e763fdb9c5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</w:t>
            </w:r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含2分）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数据全生命周期管理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评价项目在数据的‌收集、存储、使用、加工、传输、提供、公开、删除等全生命周期的管理情况。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7" w:name="hmcheck_c60dff1bdc4743639b11443a03f52e8a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该指标在参赛项目中处于领先水平（前20%）</w:t>
            </w:r>
            <w:bookmarkEnd w:id="7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8" w:name="hmcheck_fc7ba682a7874b4aac15444d6425926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8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9" w:name="hmcheck_f360a32bcd6b41c8bb9f258ff60e124c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10" w:name="hmcheck_a172c36a728d485bbbd6d2a0daab114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10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11" w:name="hmcheck_92b7b402f69244ed97ae927bb5d2801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1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12" w:name="hmcheck_c300068ebf3b457bad9475a8a4f4588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12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数据合规情况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评价项目在数据的全生命周期活动中，如何遵守相关法律法规、行业标准及内部规范，以确保数据的合法性、安全性的情况。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13" w:name="hmcheck_dd53856ea5e647a99910ae038440e91f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该指标在参赛项目中处于领先水平（前20%）</w:t>
            </w:r>
            <w:bookmarkEnd w:id="1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14" w:name="hmcheck_5f81a7e48cb64d11bb36d39ef76fdfef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14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15" w:name="hmcheck_e6acfb33632a4354b841e42452a2cdc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1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16" w:name="hmcheck_bec801c285e54e118f68cf26abb423f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16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17" w:name="hmcheck_9f4ade569cc84d8f873c387825cf4a0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17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18" w:name="hmcheck_357b6e8f9b3b4472991bd3093770835f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18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先进性</w:t>
            </w: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治理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数据安全情况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评价项目如何采取必要措施，确保数据处于有效保护和合法利用的状态，以及具备保障持续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  <w:instrText xml:space="preserve"> HYPERLINK "https://baike.baidu.com/item/%E5%AE%89%E5%85%A8%E7%8A%B6%E6%80%81/9256773?fromModule=lemma_inlink" \t "_blank"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安全状态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的能力。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19" w:name="hmcheck_ef5275f7fb694744926872b64aec9d4e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该指标在参赛项目中处于领先水平（前20%）</w:t>
            </w:r>
            <w:bookmarkEnd w:id="1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20" w:name="hmcheck_772d3ebd65fa4000891313abea84dc7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20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21" w:name="hmcheck_f2c2329a933e43f1b4d19ea36c91a42d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2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22" w:name="hmcheck_386f5037e12c4845b811df95269331ca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22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23" w:name="hmcheck_64f56aeeb7df418bb811d54fc86a3f7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2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24" w:name="hmcheck_52691db284a84886b36261330647270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24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数据应用场景培育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数据来源多元性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评价项目如何针对多源（异构）数据进行管理的情况。</w:t>
            </w:r>
            <w:bookmarkStart w:id="25" w:name="hmcheck_8774da4d661c43229dffd43a13284b4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包括且不限于</w:t>
            </w:r>
            <w:bookmarkEnd w:id="2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：数据来源广泛性、数据跨企业流通交易规模、数据维度、数据价值体现等方面。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26" w:name="hmcheck_81fcb1d6ed354384972410960827eb4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 xml:space="preserve">该指标在参赛项目中处于领先水平（前20%） </w:t>
            </w:r>
            <w:bookmarkEnd w:id="2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27" w:name="hmcheck_c997a2c67b924d2a9ce5afe90129215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27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28" w:name="hmcheck_829e13e6e2c842f78818fc93c665dfd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2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29" w:name="hmcheck_c7fd3673694a4514b465a55689f06db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29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30" w:name="hmcheck_2b96390784a64d12a8a483605ddff36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3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31" w:name="hmcheck_3a8b719a025c4d9db9582b81f73db20a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31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数据和业务融合度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如何对数据开展分析、进行处理、以获取数据中的信息和价值的情况；评价项目如何将数据分析的结果应用于企业的业务决策、产品优化、市场预测等方面，以提升企业的运营效率和盈利能力，实现数据和业务的高度融合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32" w:name="hmcheck_042559dbb42442889e9ab3f82b33537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 xml:space="preserve">该指标在参赛项目中处于领先水平（前20%） </w:t>
            </w:r>
            <w:bookmarkEnd w:id="3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33" w:name="hmcheck_74264d89da2440daad1612e7eb9e459a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33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34" w:name="hmcheck_38c7095307fb47c49acbaf29a75097be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3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35" w:name="hmcheck_93f2c035817f4fd88eb58dda7b8043f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35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36" w:name="hmcheck_12b11c64d332469595ab469ec3bd16b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3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37" w:name="hmcheck_88f51f94277c41c2b197b5ada5627cbe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37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数据服务及产品丰富度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评价项目能够提供关于数据服务和产品丰富度的情况。</w:t>
            </w:r>
            <w:bookmarkStart w:id="38" w:name="hmcheck_636b0f2ae0834f80a8456643b124358a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包括且不限于</w:t>
            </w:r>
            <w:bookmarkEnd w:id="3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：数据采集、数据存储、数据处理、数据分析、数据传输、数据安全、数据可视化、数据共享与协作、实时数据等方面。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39" w:name="hmcheck_a273006739514d5ea3ec9d5b07f591c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 xml:space="preserve">该指标在参赛项目中处于领先水平（前20%） </w:t>
            </w:r>
            <w:bookmarkEnd w:id="3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40" w:name="hmcheck_a5425d53d7c64bfead03bb478a53fe1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40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41" w:name="hmcheck_8f0481926b0d4b61b96800740bdc69dd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4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42" w:name="hmcheck_59b14585c3964ad3a7a4e333d17044b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42"/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43" w:name="hmcheck_9a59a04ba3aa4930ade3ff4e600bab57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4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44" w:name="hmcheck_7f8e834f35d045b89a5aa9bbcbce16de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44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先进性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技术创新及模式创新水平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数据技术创新情况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评价项目在数据技术创新方面的情况。</w:t>
            </w:r>
            <w:bookmarkStart w:id="45" w:name="hmcheck_ec2b0ae8a5d14b9dae6b4026f49bbfe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44"/>
                <w:sz w:val="21"/>
                <w:szCs w:val="21"/>
                <w:highlight w:val="none"/>
                <w:shd w:val="clear" w:color="auto" w:fill="auto"/>
              </w:rPr>
              <w:t>包括且不限于</w:t>
            </w:r>
            <w:bookmarkEnd w:id="4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44"/>
                <w:sz w:val="21"/>
                <w:szCs w:val="21"/>
                <w:highlight w:val="none"/>
                <w:shd w:val="clear" w:color="auto" w:fill="auto"/>
              </w:rPr>
              <w:t>：人工智能（AI）、大数据、云计算、物联网（IoT）、区块链、量子计算、6G通信技术、数字孪生、隐私保护技术、边缘计算等关键核心领域的数据技术创新、论文发表、科研成果转化的情况。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46" w:name="hmcheck_c23c1462b6254296998555fc6f6f448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 xml:space="preserve">该指标在参赛项目中处于领先水平（前20%） </w:t>
            </w:r>
            <w:bookmarkEnd w:id="4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47" w:name="hmcheck_135f6dca8b98429aba8f7373a1804e4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47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48" w:name="hmcheck_6b091fabd8cd481eb6a76595a4dc028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4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49" w:name="hmcheck_909bb8af93574332b06c3a99257bf74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49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50" w:name="hmcheck_f3d85b09974b404383e698860d753b2d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5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51" w:name="hmcheck_320e1dd3620e43a2b504ad43ce7cad7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51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数据开发模式创新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评价项目在数据开发模式创新方面的情况。</w:t>
            </w:r>
            <w:bookmarkStart w:id="52" w:name="hmcheck_ff8a079d955244edb754bc9ddc953e7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包括且不限于</w:t>
            </w:r>
            <w:bookmarkEnd w:id="5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：传统模式、敏捷模式、混合模式、演进模式等‌方面。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53" w:name="hmcheck_4280563b36724c9c85920a3743b6e7e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 xml:space="preserve">该指标在参赛项目中处于领先水平（前20%） </w:t>
            </w:r>
            <w:bookmarkEnd w:id="5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54" w:name="hmcheck_b39f9943221f4376ac46c1192d29f62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54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55" w:name="hmcheck_bc37b85d77cf427f98039c050f89fea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5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56" w:name="hmcheck_10f46201da1e4efaafc105174deca41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56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57" w:name="hmcheck_349b7ff528984bd8a6fe3c22cdb136ed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57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58" w:name="hmcheck_d60e6e71cee243ffb045836ddeee82a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58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数据流通模式创新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评价项目在数据流通模式创新方面的情况。</w:t>
            </w:r>
            <w:bookmarkStart w:id="59" w:name="hmcheck_c58e2b4810454157bd06e5823aee36f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包括且不限于</w:t>
            </w:r>
            <w:bookmarkEnd w:id="5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：数据开放、数据共享、数据交易、数据交换等方面。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4分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</w:t>
            </w:r>
            <w:bookmarkStart w:id="60" w:name="hmcheck_11115b5c07a349d9a04b39a0e14d668b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 xml:space="preserve">该指标在参赛项目中处于领先水平（前20%） </w:t>
            </w:r>
            <w:bookmarkEnd w:id="6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61" w:name="hmcheck_e34622cf459648b19c9c0b22a9a1b93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（3分-4分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  <w:bookmarkEnd w:id="61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</w:t>
            </w:r>
            <w:bookmarkStart w:id="62" w:name="hmcheck_9f33fbe2ca564ce6aec8d686ae0e74dd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该指标在参赛项目中处于中上水平（前40%-前20%）</w:t>
            </w:r>
            <w:bookmarkEnd w:id="6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63" w:name="hmcheck_63645bdca52a4715a247f7d4ce5f79fc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（2分-3分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  <w:bookmarkEnd w:id="63"/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</w:t>
            </w:r>
            <w:bookmarkStart w:id="64" w:name="hmcheck_094bc9af729d4433826cdbf09d8c4cd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该指标在参赛项目中处于中下水平（后60%）</w:t>
            </w:r>
            <w:bookmarkEnd w:id="6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，评分区间：</w:t>
            </w:r>
            <w:bookmarkStart w:id="65" w:name="hmcheck_c6af9bf35100478db8b22a412f8cac1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（0分-2分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（含2分）</w:t>
            </w:r>
            <w:bookmarkEnd w:id="65"/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0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9240" w:firstLineChars="440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实效性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解决问题重要程度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问题重要性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是否聚焦所在领域重点、难点、堵点问题和核心需求。例如：产业升级转型问题、重大安全风险处置问题、质量效能提升问题、城乡数字鸿沟问题、社会民生与城市运行问题、金融安全问题、关键核心技术创新问题、文旅生态培育问题、公民医疗保障问题、生态环境保护问题、气象服务标准升级等相关问题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10分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8分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（含10分）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（含8分）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widowControl w:val="0"/>
              <w:spacing w:after="120" w:line="280" w:lineRule="exact"/>
              <w:ind w:left="420" w:leftChars="20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问题解决程度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所解决问题的程度。例如：是否推动产业转型升级、是否促进降本提质增效、是否为宏观决策做出有力支撑、是否解决民生就业增收问题、是否促进医疗便捷服务、是否促进减碳减排、是否推动生活场景重构、是否促进品牌价值释放、是否提升气象服务质量、是否发挥数据赋能作用等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10分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8分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（含10分）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（含8分）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一般：该指标在参赛项目中处于中下水平（后60%），评分区间：（0分-4分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（含4分）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实效性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经济社会效益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经济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效益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评价项目潜在或已取得的经济效益的情况。包括且不限于：成本降低效益增加、投资回报增加、利润增长等方面。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6分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（含6分）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（含5分）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社会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效益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评价项目潜在或已取得的社会效益的情况。包括且不限于：项目对社会整体产生的积极影响，涵盖经济、文化、生态、政治等多方面。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6分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（含6分）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（含5分）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0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 w:val="0"/>
              <w:spacing w:after="120" w:line="280" w:lineRule="exact"/>
              <w:ind w:left="420" w:leftChars="200"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示范性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数据治理模式推广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治理模式可复制性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评价项目数据治理模式及其可复制性。包括且不限于：数据来源、数据治理解决方案、数据要素价值释放带动行业发展等方面。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7分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（含7分）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（含5分）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治理标准可推广性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评价项目数据治理标准及其可推广性。包括且不限于：数据治理标准在组织、行业、社会的应用以及推广水平等方面。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7分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（含7分）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（含5分）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示范性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数据流通模式推广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流通模式可复制性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评价项目数据流通模式及其可复制性。包括且不限于：数据流通解决方案、市场份额、产品价格、成本核算、盈利模式、生态构建水平等方面。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7分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（含7分）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（含5分）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流通模式可推广性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评价项目数据流通模式及其可推广性。包括且不限于：潜在用户规模和未来应用空间分析、推广渠道、宣传方式等方面。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7分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优秀：该指标在参赛项目中处于领先水平（前20%），评分区间：（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（含7分）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良好：该指标在参赛项目中处于中上水平（前40%-前20%），评分区间：（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val="e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（含5分）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一般：该指标在参赛项目中处于中下水平（后60%），评分区间：（0分-3分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（含3分）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0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 w:val="0"/>
              <w:spacing w:after="120" w:line="280" w:lineRule="exact"/>
              <w:ind w:left="420" w:leftChars="200" w:firstLine="42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0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21"/>
                <w:szCs w:val="21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 w:val="0"/>
              <w:spacing w:after="120" w:line="280" w:lineRule="exact"/>
              <w:ind w:left="420" w:leftChars="200" w:firstLine="42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</w:tbl>
    <w:p>
      <w:bookmarkStart w:id="66" w:name="_GoBack"/>
      <w:bookmarkEnd w:id="6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02EE0"/>
    <w:rsid w:val="134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2025-05-14T08:48:00Z</dcterms:created>
  <dc:creator>User</dc:creator>
  <cp:lastModifiedBy>User</cp:lastModifiedBy>
  <dcterms:modified xsi:type="dcterms:W3CDTF">2025-05-14T08:49:30Z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9E54664447A142A19EFE12760C3589A1</vt:lpwstr>
  </property>
</Properties>
</file>